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0F" w:rsidRPr="00ED4B0F" w:rsidRDefault="00ED4B0F" w:rsidP="00ED4B0F">
      <w:pPr>
        <w:spacing w:line="220" w:lineRule="atLeast"/>
        <w:jc w:val="center"/>
        <w:rPr>
          <w:rFonts w:ascii="方正小标宋简体" w:eastAsia="方正小标宋简体" w:hint="eastAsia"/>
          <w:sz w:val="44"/>
          <w:szCs w:val="44"/>
        </w:rPr>
      </w:pPr>
      <w:r w:rsidRPr="00ED4B0F">
        <w:rPr>
          <w:rFonts w:ascii="方正小标宋简体" w:eastAsia="方正小标宋简体" w:hint="eastAsia"/>
          <w:sz w:val="44"/>
          <w:szCs w:val="44"/>
        </w:rPr>
        <w:t>高等学校预防与处理学术不端行为办法</w:t>
      </w:r>
    </w:p>
    <w:p w:rsidR="00ED4B0F" w:rsidRPr="00ED4B0F" w:rsidRDefault="00ED4B0F" w:rsidP="00ED4B0F">
      <w:pPr>
        <w:shd w:val="clear" w:color="auto" w:fill="FFFFFF"/>
        <w:adjustRightInd/>
        <w:snapToGrid/>
        <w:spacing w:after="0" w:line="560" w:lineRule="atLeast"/>
        <w:ind w:firstLine="640"/>
        <w:jc w:val="center"/>
        <w:rPr>
          <w:rFonts w:ascii="仿宋_GB2312" w:eastAsia="仿宋_GB2312" w:hAnsi="Calibri" w:cs="Calibri" w:hint="eastAsia"/>
          <w:color w:val="666666"/>
          <w:sz w:val="32"/>
          <w:szCs w:val="32"/>
        </w:rPr>
      </w:pPr>
      <w:r w:rsidRPr="00ED4B0F">
        <w:rPr>
          <w:rFonts w:ascii="仿宋_GB2312" w:eastAsia="仿宋_GB2312" w:hAnsi="Calibri" w:cs="Calibri" w:hint="eastAsia"/>
          <w:color w:val="666666"/>
          <w:sz w:val="32"/>
          <w:szCs w:val="32"/>
        </w:rPr>
        <w:t>中华人民共和国教育部令第40号</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2016</w:t>
      </w:r>
      <w:r w:rsidRPr="00ED4B0F">
        <w:rPr>
          <w:rFonts w:ascii="仿宋_GB2312" w:eastAsia="仿宋_GB2312" w:hAnsi="Times New Roman" w:cs="Times New Roman" w:hint="eastAsia"/>
          <w:color w:val="666666"/>
          <w:sz w:val="32"/>
          <w:szCs w:val="32"/>
        </w:rPr>
        <w:t>年</w:t>
      </w:r>
      <w:r w:rsidRPr="00ED4B0F">
        <w:rPr>
          <w:rFonts w:ascii="Times New Roman" w:eastAsia="宋体" w:hAnsi="Times New Roman" w:cs="Times New Roman"/>
          <w:color w:val="666666"/>
          <w:sz w:val="32"/>
          <w:szCs w:val="32"/>
        </w:rPr>
        <w:t>4</w:t>
      </w:r>
      <w:r w:rsidRPr="00ED4B0F">
        <w:rPr>
          <w:rFonts w:ascii="仿宋_GB2312" w:eastAsia="仿宋_GB2312" w:hAnsi="Times New Roman" w:cs="Times New Roman" w:hint="eastAsia"/>
          <w:color w:val="666666"/>
          <w:sz w:val="32"/>
          <w:szCs w:val="32"/>
        </w:rPr>
        <w:t>月</w:t>
      </w:r>
      <w:r w:rsidRPr="00ED4B0F">
        <w:rPr>
          <w:rFonts w:ascii="Times New Roman" w:eastAsia="宋体" w:hAnsi="Times New Roman" w:cs="Times New Roman"/>
          <w:color w:val="666666"/>
          <w:sz w:val="32"/>
          <w:szCs w:val="32"/>
        </w:rPr>
        <w:t>5</w:t>
      </w:r>
      <w:r w:rsidRPr="00ED4B0F">
        <w:rPr>
          <w:rFonts w:ascii="仿宋_GB2312" w:eastAsia="仿宋_GB2312" w:hAnsi="Times New Roman" w:cs="Times New Roman" w:hint="eastAsia"/>
          <w:color w:val="666666"/>
          <w:sz w:val="32"/>
          <w:szCs w:val="32"/>
        </w:rPr>
        <w:t>日经教育部</w:t>
      </w:r>
      <w:r w:rsidRPr="00ED4B0F">
        <w:rPr>
          <w:rFonts w:ascii="Times New Roman" w:eastAsia="宋体" w:hAnsi="Times New Roman" w:cs="Times New Roman"/>
          <w:color w:val="666666"/>
          <w:sz w:val="32"/>
          <w:szCs w:val="32"/>
        </w:rPr>
        <w:t>2016</w:t>
      </w:r>
      <w:r w:rsidRPr="00ED4B0F">
        <w:rPr>
          <w:rFonts w:ascii="仿宋_GB2312" w:eastAsia="仿宋_GB2312" w:hAnsi="Times New Roman" w:cs="Times New Roman" w:hint="eastAsia"/>
          <w:color w:val="666666"/>
          <w:sz w:val="32"/>
          <w:szCs w:val="32"/>
        </w:rPr>
        <w:t>年第</w:t>
      </w:r>
      <w:r w:rsidRPr="00ED4B0F">
        <w:rPr>
          <w:rFonts w:ascii="Times New Roman" w:eastAsia="宋体" w:hAnsi="Times New Roman" w:cs="Times New Roman"/>
          <w:color w:val="666666"/>
          <w:sz w:val="32"/>
          <w:szCs w:val="32"/>
        </w:rPr>
        <w:t>14</w:t>
      </w:r>
      <w:r w:rsidRPr="00ED4B0F">
        <w:rPr>
          <w:rFonts w:ascii="仿宋_GB2312" w:eastAsia="仿宋_GB2312" w:hAnsi="Times New Roman" w:cs="Times New Roman" w:hint="eastAsia"/>
          <w:color w:val="666666"/>
          <w:sz w:val="32"/>
          <w:szCs w:val="32"/>
        </w:rPr>
        <w:t>次部长办公会议审议通过。</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Times New Roman" w:eastAsia="宋体" w:hAnsi="Times New Roman" w:cs="Times New Roman"/>
          <w:b/>
          <w:bCs/>
          <w:color w:val="666666"/>
          <w:sz w:val="32"/>
        </w:rPr>
        <w:t> </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第一章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总</w:t>
      </w:r>
      <w:r w:rsidRPr="00ED4B0F">
        <w:rPr>
          <w:rFonts w:ascii="Times New Roman" w:eastAsia="宋体" w:hAnsi="Times New Roman" w:cs="Times New Roman"/>
          <w:color w:val="666666"/>
          <w:sz w:val="32"/>
          <w:szCs w:val="32"/>
        </w:rPr>
        <w:t>  </w:t>
      </w:r>
      <w:r w:rsidRPr="00ED4B0F">
        <w:rPr>
          <w:rFonts w:ascii="黑体" w:eastAsia="黑体" w:hAnsi="黑体" w:cs="Calibri" w:hint="eastAsia"/>
          <w:color w:val="666666"/>
          <w:sz w:val="32"/>
          <w:szCs w:val="32"/>
        </w:rPr>
        <w:t>则</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第一条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本办法所称学术不端行为是指高等学校及其教学科研人员、管理人员和学生，在科学研究及相关活动中发生的违反公认的学术准则、违背学术诚信的行为。</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高等学校预防与处理学术不端行为应坚持预防为主、教育与惩戒结合的原则。</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第四条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第五条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高等学校是学术不端行为预防与处理的主体。高等学校应当建设集教育、预防、监督、惩治于一体的学术诚信体系，建立由主要负责人领导的学风建设工作机制，</w:t>
      </w:r>
      <w:r w:rsidRPr="00ED4B0F">
        <w:rPr>
          <w:rFonts w:ascii="仿宋_GB2312" w:eastAsia="仿宋_GB2312" w:hAnsi="Calibri" w:cs="Calibri" w:hint="eastAsia"/>
          <w:color w:val="666666"/>
          <w:sz w:val="32"/>
          <w:szCs w:val="32"/>
        </w:rPr>
        <w:lastRenderedPageBreak/>
        <w:t>明确职责分工</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依据本办法完善本校学术不端行为预防与处理的规则与程序。</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高等学校应当充分发挥学术委员会在学风建设方面的作用，支持和保障学术委员会依法履行职责，调查、认定学术不端行为。</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第二章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教育与预防</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第六条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高等学校应当完善学术治理体系，建立科学公正的学术评价和学术发展制度，营造鼓励创新、宽容失败、不骄不躁、风清气正的学术环境。</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高等学校教学科研人员、管理人员、学生在科研活动中应当遵循实事求是的科学精神和严谨认真的治学态度，恪守学术诚信，遵循学术准则，尊重和保护他人知识产权等合法权益。</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第七条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高等学校应当将学术规范和学术诚信教育，作为教师培训和学生教育的必要内容，以多种形式开展教育、培训。</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教师对其指导的学生应当进行学术规范、学术诚信教育和指导，对学生公开发表论文、研究和撰写学位论文是否符合学术规范、学术诚信要求，进行必要的检查与审核。</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第八条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高等学校应当利用信息技术等手段，建立对学术成果、学位论文所涉及内容的知识产权查询制度，健全学术规范监督机制。</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lastRenderedPageBreak/>
        <w:t>第九条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高等学校应当建立健全科研管理制度，在合理期限内保存研究的原始数据和资料，保证科研档案和数据的真实性、完整性。</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高等学校应当完善科研项目评审、学术成果鉴定程序，结合学科特点，对非涉密的科研项目申报材料、学术成果的基本信息以适当方式进行公开。</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高等学校应当遵循学术研究规律，建立科学的学术水平考核评价标准、办法，引导教学科研人员和学生潜心研究，形成具有创新性、独创性的研究成果。</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第十一条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高等学校应当建立教学科研人员学术诚信记录，在年度考核、职称评定、岗位聘用、课题立项、人才计划、评优奖励中强化学术诚信考核。</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第三章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受理与调查</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第十二条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高等学校应当明确具体部门，负责受理社会组织、个人对本校教学科研人员、管理人员及学生学术不端行为的举报</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有条件的，可以设立专门岗位或者指定专人，负责学术诚信和不端行为举报相关事宜的咨询、受理、调查等工作。</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第十三条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对学术不端行为的举报，一般应当以书面方式实名提出，并符合下列条件</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一</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有明确的举报对象</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二</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有实施学术不端行为的事实</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三</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有客观的证据材料或者查证线索。</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lastRenderedPageBreak/>
        <w:t>以匿名方式举报，但事实清楚、证据充分或者线索明确的，高等学校应当视情况予以受理。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第十四条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高等学校对媒体公开报道、其他学术机构或者社会组织主动披露的涉及本校人员的学术不端行为，应当依据职权，主动进行调查处理。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第十五条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高等学校受理机构认为举报材料符合条件的，应当及时作出受理决定，并通知举报人。不予受理的，应当书面说明理由。</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第十六条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学术不端行为举报受理后，应当交由学校学术委员会按照相关程序组织开展调查。</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学术委员会可委托有关专家就举报内容的合理性、调查的可能性等进行初步审查，并作出是否进入正式调查的决定。</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决定不进入正式调查的，应当告知举报人。举报人如有新的证据，可以提出异议。异议成立的，应当进入正式调查。</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第十七条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高等学校学术委员会决定进入正式调查的，应当通知被举报人。</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被调查行为涉及资助项目的，可以同时通知项目资助方。</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第十八条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高等学校学术委员会应当组成调查组，负责对被举报行为进行调查</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但对事实清楚、证据确凿、情节简单的被举报行为，也可以采用简易调查程序，具体办法由学术委员会确定。</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lastRenderedPageBreak/>
        <w:t>调查组应当不少于</w:t>
      </w:r>
      <w:r w:rsidRPr="00ED4B0F">
        <w:rPr>
          <w:rFonts w:ascii="Times New Roman" w:eastAsia="宋体" w:hAnsi="Times New Roman" w:cs="Times New Roman"/>
          <w:color w:val="666666"/>
          <w:sz w:val="32"/>
          <w:szCs w:val="32"/>
        </w:rPr>
        <w:t>3</w:t>
      </w:r>
      <w:r w:rsidRPr="00ED4B0F">
        <w:rPr>
          <w:rFonts w:ascii="仿宋_GB2312" w:eastAsia="仿宋_GB2312" w:hAnsi="Calibri" w:cs="Calibri" w:hint="eastAsia"/>
          <w:color w:val="666666"/>
          <w:sz w:val="32"/>
          <w:szCs w:val="32"/>
        </w:rPr>
        <w:t>人，必要时应当包括学校纪检、监察机构指派的工作人员，可以邀请同行专家参与调查或者以咨询等方式提供学术判断。</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被调查行为涉及资助项目的，可以邀请项目资助方委派相关专业人员参与调查组。</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第十九条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调查组的组成人员与举报人或者被举报人有合作研究、亲属或者导师学生等直接利害关系的，应当回避。</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调查可通过查询资料、现场查看、实验检验、询问证人、询问举报人和被举报人等方式进行。调查组认为有必要的，可以委托无利害关系的专家或者第三方专业机构就有关事项进行独立调查或者验证。</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第二十一条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调查组在调查过程中，应当认真听取被举报人的陈述、申辩，对有关事实、理由和证据进行核实</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认为必要的，可以采取听证方式。</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第二十二条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有关单位和个人应当为调查组开展工作提供必要的便利和协助。</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举报人、被举报人、证人及其他有关人员应当如实回答询问，配合调查，提供相关证据材料，不得隐瞒或者提供虚假信息。</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第二十三条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调查过程中，出现知识产权等争议引发的法律纠纷的，且该争议可能影响行为定性的，应当中止调查，待争议解决后重启调查。</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lastRenderedPageBreak/>
        <w:t>第二十四条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调查组应当在查清事实的基础上形成调查报告。调查报告应当包括学术不端行为责任人的确认、调查过程、事实认定及理由、调查结论等。</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学术不端行为由多人集体做出的，调查报告中应当区别各责任人在行为中所发挥的作用。</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第二十五条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接触举报材料和参与调查处理的人员，不得向无关人员透露举报人、被举报人个人信息及调查情况。</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第四章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认</w:t>
      </w:r>
      <w:r w:rsidRPr="00ED4B0F">
        <w:rPr>
          <w:rFonts w:ascii="Times New Roman" w:eastAsia="宋体" w:hAnsi="Times New Roman" w:cs="Times New Roman"/>
          <w:color w:val="666666"/>
          <w:sz w:val="32"/>
          <w:szCs w:val="32"/>
        </w:rPr>
        <w:t>  </w:t>
      </w:r>
      <w:r w:rsidRPr="00ED4B0F">
        <w:rPr>
          <w:rFonts w:ascii="黑体" w:eastAsia="黑体" w:hAnsi="黑体" w:cs="Calibri" w:hint="eastAsia"/>
          <w:color w:val="666666"/>
          <w:sz w:val="32"/>
          <w:szCs w:val="32"/>
        </w:rPr>
        <w:t>定</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第二十六条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高等学校学术委员会应当对调查组提交的调查报告进行审查</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必要的，应当听取调查组的汇报。</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学术委员会可以召开全体会议或者授权专门委员会对被调查行为是否构成学术不端行为以及行为的性质、情节等作出认定结论，并依职权作出处理或建议学校作出相应处理。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第二十七条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经调查，确认被举报人在科学研究及相关活动中有下列行为之一的，应当认定为构成学术不端行为</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一</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剽窃、抄袭、侵占他人学术成果</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二</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篡改他人研究成果</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三</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伪造科研数据、资料、文献、注释，或者捏造事实、编造虚假研究成果</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四</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未参加研究或创作而在研究成果、学术论文上署名，未经他人许可而不当使用他人署名，虚构合作者共同署名，或者多人共同完成研究而在成果中未注明他人工作、贡献</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lastRenderedPageBreak/>
        <w:t>(</w:t>
      </w:r>
      <w:r w:rsidRPr="00ED4B0F">
        <w:rPr>
          <w:rFonts w:ascii="仿宋_GB2312" w:eastAsia="仿宋_GB2312" w:hAnsi="Calibri" w:cs="Calibri" w:hint="eastAsia"/>
          <w:color w:val="666666"/>
          <w:sz w:val="32"/>
          <w:szCs w:val="32"/>
        </w:rPr>
        <w:t>五</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在申报课题、成果、奖励和职务评审评定、申请学位等过程中提供虚假学术信息</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六</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买卖论文、由他人代写或者为他人代写论文</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七</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其他根据高等学校或者有关学术组织、相关科研管理机构制定的规则，属于学术不端的行为。</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第二十八条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有学术不端行为且有下列情形之一的，应当认定为情节严重</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一</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造成恶劣影响的</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二</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存在利益输送或者利益交换的</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三</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对举报人进行打击报复的</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四</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有组织实施学术不端行为的</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五</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多次实施学术不端行为的</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六</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其他造成严重后果或者恶劣影响的。</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第五章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处</w:t>
      </w:r>
      <w:r w:rsidRPr="00ED4B0F">
        <w:rPr>
          <w:rFonts w:ascii="Times New Roman" w:eastAsia="宋体" w:hAnsi="Times New Roman" w:cs="Times New Roman"/>
          <w:color w:val="666666"/>
          <w:sz w:val="32"/>
          <w:szCs w:val="32"/>
        </w:rPr>
        <w:t>  </w:t>
      </w:r>
      <w:r w:rsidRPr="00ED4B0F">
        <w:rPr>
          <w:rFonts w:ascii="黑体" w:eastAsia="黑体" w:hAnsi="黑体" w:cs="Calibri" w:hint="eastAsia"/>
          <w:color w:val="666666"/>
          <w:sz w:val="32"/>
          <w:szCs w:val="32"/>
        </w:rPr>
        <w:t>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第二十九条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高等学校应当根据学术委员会的认定结论和处理建议，结合行为性质和情节轻重，依职权和规定程序对学术不端行为责任人作出如下处理</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一</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通报批评</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二</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终止或者撤销相关的科研项目，并在一定期限内取消申请资格</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三</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撤销学术奖励或者荣誉称号</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四</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辞退或解聘</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五</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法律、法规及规章规定的其他处理措施。</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lastRenderedPageBreak/>
        <w:t>同时，可以依照有关规定，给予警告、记过、降低岗位等级或者撤职、开除等处分。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学术不端行为责任人获得有关部门、机构设立的科研项目、学术奖励或者荣誉称号等利益的，学校应当同时向有关主管部门提出处理建议。</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学生有学术不端行为的，还应当按照学生管理的相关规定，给予相应的学籍处分。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学术不端行为与获得学位有直接关联的，由学位授予单位作暂缓授予学位、不授予学位或者依法撤销学位等处理。</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高等学校对学术不端行为作出处理决定，应当制作处理决定书，载明以下内容</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一</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责任人的基本情况</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二</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经查证的学术不端行为事实</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三</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处理意见和依据</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四</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救济途径和期限</w:t>
      </w:r>
      <w:r w:rsidRPr="00ED4B0F">
        <w:rPr>
          <w:rFonts w:ascii="Times New Roman" w:eastAsia="宋体" w:hAnsi="Times New Roman" w:cs="Times New Roman"/>
          <w:color w:val="666666"/>
          <w:sz w:val="32"/>
          <w:szCs w:val="32"/>
        </w:rPr>
        <w:t>;</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五</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其他必要内容。</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第三十一条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经调查认定，不构成学术不端行为的，根据被举报人申请，高等学校应当通过一定方式为其消除影响、恢复名誉等。</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调查处理过程中，发现举报人存在捏造事实、诬告陷害等行为的，应当认定为举报不实或者虚假举报，举报人应当承担相应责任。属于本单位人员的，高等学校应当按</w:t>
      </w:r>
      <w:r w:rsidRPr="00ED4B0F">
        <w:rPr>
          <w:rFonts w:ascii="仿宋_GB2312" w:eastAsia="仿宋_GB2312" w:hAnsi="Calibri" w:cs="Calibri" w:hint="eastAsia"/>
          <w:color w:val="666666"/>
          <w:sz w:val="32"/>
          <w:szCs w:val="32"/>
        </w:rPr>
        <w:lastRenderedPageBreak/>
        <w:t>照有关规定给予处理</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不属于本单位人员的，应通报其所在单位，并提出处理建议。</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第三十二条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参与举报受理、调查和处理的人员违反保密等规定，造成不良影响的，按照有关规定给予处分或其他处理。</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第六章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复</w:t>
      </w:r>
      <w:r w:rsidRPr="00ED4B0F">
        <w:rPr>
          <w:rFonts w:ascii="Times New Roman" w:eastAsia="宋体" w:hAnsi="Times New Roman" w:cs="Times New Roman"/>
          <w:color w:val="666666"/>
          <w:sz w:val="32"/>
          <w:szCs w:val="32"/>
        </w:rPr>
        <w:t>  </w:t>
      </w:r>
      <w:r w:rsidRPr="00ED4B0F">
        <w:rPr>
          <w:rFonts w:ascii="黑体" w:eastAsia="黑体" w:hAnsi="黑体" w:cs="Calibri" w:hint="eastAsia"/>
          <w:color w:val="666666"/>
          <w:sz w:val="32"/>
          <w:szCs w:val="32"/>
        </w:rPr>
        <w:t>核</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第三十三条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举报人或者学术不端行为责任人对处理决定不服的，可以在收到处理决定之日起</w:t>
      </w:r>
      <w:r w:rsidRPr="00ED4B0F">
        <w:rPr>
          <w:rFonts w:ascii="Times New Roman" w:eastAsia="宋体" w:hAnsi="Times New Roman" w:cs="Times New Roman"/>
          <w:color w:val="666666"/>
          <w:sz w:val="32"/>
          <w:szCs w:val="32"/>
        </w:rPr>
        <w:t>30</w:t>
      </w:r>
      <w:r w:rsidRPr="00ED4B0F">
        <w:rPr>
          <w:rFonts w:ascii="仿宋_GB2312" w:eastAsia="仿宋_GB2312" w:hAnsi="Calibri" w:cs="Calibri" w:hint="eastAsia"/>
          <w:color w:val="666666"/>
          <w:sz w:val="32"/>
          <w:szCs w:val="32"/>
        </w:rPr>
        <w:t>日内，以书面形式向高等学校提出异议或者复核申请。</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异议和复核不影响处理决定的执行。</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第三十四条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高等学校收到异议或者复核申请后，应当交由学术委员会组织讨论，并于</w:t>
      </w:r>
      <w:r w:rsidRPr="00ED4B0F">
        <w:rPr>
          <w:rFonts w:ascii="Times New Roman" w:eastAsia="宋体" w:hAnsi="Times New Roman" w:cs="Times New Roman"/>
          <w:color w:val="666666"/>
          <w:sz w:val="32"/>
          <w:szCs w:val="32"/>
        </w:rPr>
        <w:t>15</w:t>
      </w:r>
      <w:r w:rsidRPr="00ED4B0F">
        <w:rPr>
          <w:rFonts w:ascii="仿宋_GB2312" w:eastAsia="仿宋_GB2312" w:hAnsi="Calibri" w:cs="Calibri" w:hint="eastAsia"/>
          <w:color w:val="666666"/>
          <w:sz w:val="32"/>
          <w:szCs w:val="32"/>
        </w:rPr>
        <w:t>日内作出是否受理的决定。</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决定受理的，学校或者学术委员会可以另行组织调查组或者委托第三方机构进行调查</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决定不予受理的，应当书面通知当事人。</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第三十五条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当事人对复核决定不服，仍以同一事实和理由提出异议或者申请复核的，不予受理</w:t>
      </w:r>
      <w:r w:rsidRPr="00ED4B0F">
        <w:rPr>
          <w:rFonts w:ascii="Times New Roman" w:eastAsia="宋体" w:hAnsi="Times New Roman" w:cs="Times New Roman"/>
          <w:color w:val="666666"/>
          <w:sz w:val="32"/>
          <w:szCs w:val="32"/>
        </w:rPr>
        <w:t>;</w:t>
      </w:r>
      <w:r w:rsidRPr="00ED4B0F">
        <w:rPr>
          <w:rFonts w:ascii="仿宋_GB2312" w:eastAsia="仿宋_GB2312" w:hAnsi="Calibri" w:cs="Calibri" w:hint="eastAsia"/>
          <w:color w:val="666666"/>
          <w:sz w:val="32"/>
          <w:szCs w:val="32"/>
        </w:rPr>
        <w:t>向有关主管部门提出申诉的，按照相关规定执行。</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第七章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监</w:t>
      </w:r>
      <w:r w:rsidRPr="00ED4B0F">
        <w:rPr>
          <w:rFonts w:ascii="Times New Roman" w:eastAsia="宋体" w:hAnsi="Times New Roman" w:cs="Times New Roman"/>
          <w:color w:val="666666"/>
          <w:sz w:val="32"/>
          <w:szCs w:val="32"/>
        </w:rPr>
        <w:t>  </w:t>
      </w:r>
      <w:r w:rsidRPr="00ED4B0F">
        <w:rPr>
          <w:rFonts w:ascii="黑体" w:eastAsia="黑体" w:hAnsi="黑体" w:cs="Calibri" w:hint="eastAsia"/>
          <w:color w:val="666666"/>
          <w:sz w:val="32"/>
          <w:szCs w:val="32"/>
        </w:rPr>
        <w:t>督</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第三十六条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高等学校应当按年度发布学风建设工作报告，并向社会公开，接受社会监督。</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lastRenderedPageBreak/>
        <w:t>第三十七条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高等学校处理学术不端行为推诿塞责、隐瞒包庇、查处不力的，主管部门可以直接组织或者委托相关机构查处。</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第三十八条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高等学校对本校发生的学术不端行为，未能及时查处并做出公正结论，造成恶劣影响的，主管部门应当追究相关领导的责任，并进行通报。</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高等学校为获得相关利益，有组织实施学术不端行为的，主管部门调查确认后，应当撤销高等学校由此获得的相关权利、项目以及其他利益，并追究学校主要负责人、直接负责人的责任。</w:t>
      </w:r>
    </w:p>
    <w:p w:rsidR="00ED4B0F" w:rsidRPr="00ED4B0F" w:rsidRDefault="00ED4B0F" w:rsidP="00ED4B0F">
      <w:pPr>
        <w:shd w:val="clear" w:color="auto" w:fill="FFFFFF"/>
        <w:adjustRightInd/>
        <w:snapToGrid/>
        <w:spacing w:after="0" w:line="560" w:lineRule="atLeast"/>
        <w:ind w:firstLine="336"/>
        <w:jc w:val="center"/>
        <w:rPr>
          <w:rFonts w:ascii="Calibri" w:eastAsia="宋体" w:hAnsi="Calibri" w:cs="Calibri"/>
          <w:color w:val="666666"/>
          <w:sz w:val="17"/>
          <w:szCs w:val="17"/>
        </w:rPr>
      </w:pPr>
      <w:r w:rsidRPr="00ED4B0F">
        <w:rPr>
          <w:rFonts w:ascii="黑体" w:eastAsia="黑体" w:hAnsi="黑体" w:cs="Calibri" w:hint="eastAsia"/>
          <w:color w:val="666666"/>
          <w:sz w:val="32"/>
          <w:szCs w:val="32"/>
        </w:rPr>
        <w:t>第八章</w:t>
      </w:r>
      <w:r w:rsidRPr="00ED4B0F">
        <w:rPr>
          <w:rFonts w:ascii="Calibri" w:eastAsia="宋体" w:hAnsi="Calibri" w:cs="Calibri"/>
          <w:color w:val="666666"/>
          <w:sz w:val="17"/>
          <w:szCs w:val="17"/>
        </w:rPr>
        <w:t> </w:t>
      </w:r>
      <w:r w:rsidRPr="00ED4B0F">
        <w:rPr>
          <w:rFonts w:ascii="黑体" w:eastAsia="黑体" w:hAnsi="黑体" w:cs="Calibri" w:hint="eastAsia"/>
          <w:color w:val="666666"/>
          <w:sz w:val="32"/>
          <w:szCs w:val="32"/>
        </w:rPr>
        <w:t>附</w:t>
      </w:r>
      <w:r w:rsidRPr="00ED4B0F">
        <w:rPr>
          <w:rFonts w:ascii="Times New Roman" w:eastAsia="宋体" w:hAnsi="Times New Roman" w:cs="Times New Roman"/>
          <w:color w:val="666666"/>
          <w:sz w:val="32"/>
          <w:szCs w:val="32"/>
        </w:rPr>
        <w:t>  </w:t>
      </w:r>
      <w:r w:rsidRPr="00ED4B0F">
        <w:rPr>
          <w:rFonts w:ascii="黑体" w:eastAsia="黑体" w:hAnsi="黑体" w:cs="Calibri" w:hint="eastAsia"/>
          <w:color w:val="666666"/>
          <w:sz w:val="32"/>
          <w:szCs w:val="32"/>
        </w:rPr>
        <w:t>则</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第三十九条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高等学校应当根据本办法，结合学校实际和学科特点，制定本校学术不端行为查处规则及处理办法，明确各类学术不端行为的惩处标准。有关规则应当经学校学术委员会和教职工代表大会讨论通过。</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第四十条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高等学校主管部门对直接受理的学术不端案件，可自行组织调查组或者指定、委托高等学校、有关机构组织调查、认定。对学术不端行为责任人的处理，根据本办法及国家有关规定执行。</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教育系统所属科研机构及其他单位有关人员学术不端行为的调查与处理，可参照本办法执行。</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楷体_GB2312" w:eastAsia="楷体_GB2312" w:hAnsi="Calibri" w:cs="Calibri" w:hint="eastAsia"/>
          <w:color w:val="666666"/>
          <w:sz w:val="32"/>
          <w:szCs w:val="32"/>
        </w:rPr>
        <w:t>第四十一条</w:t>
      </w:r>
      <w:r w:rsidRPr="00ED4B0F">
        <w:rPr>
          <w:rFonts w:ascii="Calibri" w:eastAsia="宋体" w:hAnsi="Calibri" w:cs="Calibri"/>
          <w:color w:val="666666"/>
          <w:sz w:val="17"/>
          <w:szCs w:val="17"/>
        </w:rPr>
        <w:t> </w:t>
      </w:r>
      <w:r w:rsidRPr="00ED4B0F">
        <w:rPr>
          <w:rFonts w:ascii="仿宋_GB2312" w:eastAsia="仿宋_GB2312" w:hAnsi="Calibri" w:cs="Calibri" w:hint="eastAsia"/>
          <w:color w:val="666666"/>
          <w:sz w:val="32"/>
          <w:szCs w:val="32"/>
        </w:rPr>
        <w:t>本办法自</w:t>
      </w:r>
      <w:r w:rsidRPr="00ED4B0F">
        <w:rPr>
          <w:rFonts w:ascii="Times New Roman" w:eastAsia="宋体" w:hAnsi="Times New Roman" w:cs="Times New Roman"/>
          <w:color w:val="666666"/>
          <w:sz w:val="32"/>
          <w:szCs w:val="32"/>
        </w:rPr>
        <w:t>2016</w:t>
      </w:r>
      <w:r w:rsidRPr="00ED4B0F">
        <w:rPr>
          <w:rFonts w:ascii="仿宋_GB2312" w:eastAsia="仿宋_GB2312" w:hAnsi="Calibri" w:cs="Calibri" w:hint="eastAsia"/>
          <w:color w:val="666666"/>
          <w:sz w:val="32"/>
          <w:szCs w:val="32"/>
        </w:rPr>
        <w:t>年</w:t>
      </w:r>
      <w:r w:rsidRPr="00ED4B0F">
        <w:rPr>
          <w:rFonts w:ascii="Times New Roman" w:eastAsia="宋体" w:hAnsi="Times New Roman" w:cs="Times New Roman"/>
          <w:color w:val="666666"/>
          <w:sz w:val="32"/>
          <w:szCs w:val="32"/>
        </w:rPr>
        <w:t>9</w:t>
      </w:r>
      <w:r w:rsidRPr="00ED4B0F">
        <w:rPr>
          <w:rFonts w:ascii="仿宋_GB2312" w:eastAsia="仿宋_GB2312" w:hAnsi="Calibri" w:cs="Calibri" w:hint="eastAsia"/>
          <w:color w:val="666666"/>
          <w:sz w:val="32"/>
          <w:szCs w:val="32"/>
        </w:rPr>
        <w:t>月</w:t>
      </w:r>
      <w:r w:rsidRPr="00ED4B0F">
        <w:rPr>
          <w:rFonts w:ascii="Times New Roman" w:eastAsia="宋体" w:hAnsi="Times New Roman" w:cs="Times New Roman"/>
          <w:color w:val="666666"/>
          <w:sz w:val="32"/>
          <w:szCs w:val="32"/>
        </w:rPr>
        <w:t>1</w:t>
      </w:r>
      <w:r w:rsidRPr="00ED4B0F">
        <w:rPr>
          <w:rFonts w:ascii="仿宋_GB2312" w:eastAsia="仿宋_GB2312" w:hAnsi="Calibri" w:cs="Calibri" w:hint="eastAsia"/>
          <w:color w:val="666666"/>
          <w:sz w:val="32"/>
          <w:szCs w:val="32"/>
        </w:rPr>
        <w:t>日起施行。</w:t>
      </w:r>
    </w:p>
    <w:p w:rsidR="00ED4B0F" w:rsidRPr="00ED4B0F" w:rsidRDefault="00ED4B0F" w:rsidP="00ED4B0F">
      <w:pPr>
        <w:shd w:val="clear" w:color="auto" w:fill="FFFFFF"/>
        <w:adjustRightInd/>
        <w:snapToGrid/>
        <w:spacing w:after="0" w:line="560" w:lineRule="atLeast"/>
        <w:ind w:firstLine="640"/>
        <w:jc w:val="both"/>
        <w:rPr>
          <w:rFonts w:ascii="Calibri" w:eastAsia="宋体" w:hAnsi="Calibri" w:cs="Calibri"/>
          <w:color w:val="666666"/>
          <w:sz w:val="17"/>
          <w:szCs w:val="17"/>
        </w:rPr>
      </w:pPr>
      <w:r w:rsidRPr="00ED4B0F">
        <w:rPr>
          <w:rFonts w:ascii="仿宋_GB2312" w:eastAsia="仿宋_GB2312" w:hAnsi="Calibri" w:cs="Calibri" w:hint="eastAsia"/>
          <w:color w:val="666666"/>
          <w:sz w:val="32"/>
          <w:szCs w:val="32"/>
        </w:rPr>
        <w:t>教育部此前发布的有关规章、文件中的相关规定与本办法不一致的，以本办法为准。</w:t>
      </w:r>
    </w:p>
    <w:p w:rsidR="00ED4B0F" w:rsidRDefault="00ED4B0F" w:rsidP="00ED4B0F">
      <w:pPr>
        <w:spacing w:line="220" w:lineRule="atLeast"/>
        <w:jc w:val="center"/>
      </w:pPr>
    </w:p>
    <w:sectPr w:rsidR="00ED4B0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D9" w:rsidRDefault="00921ED9" w:rsidP="00ED4B0F">
      <w:pPr>
        <w:spacing w:after="0"/>
      </w:pPr>
      <w:r>
        <w:separator/>
      </w:r>
    </w:p>
  </w:endnote>
  <w:endnote w:type="continuationSeparator" w:id="0">
    <w:p w:rsidR="00921ED9" w:rsidRDefault="00921ED9" w:rsidP="00ED4B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D9" w:rsidRDefault="00921ED9" w:rsidP="00ED4B0F">
      <w:pPr>
        <w:spacing w:after="0"/>
      </w:pPr>
      <w:r>
        <w:separator/>
      </w:r>
    </w:p>
  </w:footnote>
  <w:footnote w:type="continuationSeparator" w:id="0">
    <w:p w:rsidR="00921ED9" w:rsidRDefault="00921ED9" w:rsidP="00ED4B0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21ED9"/>
    <w:rsid w:val="00D31D50"/>
    <w:rsid w:val="00ED4B0F"/>
    <w:rsid w:val="00EF2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4B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D4B0F"/>
    <w:rPr>
      <w:rFonts w:ascii="Tahoma" w:hAnsi="Tahoma"/>
      <w:sz w:val="18"/>
      <w:szCs w:val="18"/>
    </w:rPr>
  </w:style>
  <w:style w:type="paragraph" w:styleId="a4">
    <w:name w:val="footer"/>
    <w:basedOn w:val="a"/>
    <w:link w:val="Char0"/>
    <w:uiPriority w:val="99"/>
    <w:semiHidden/>
    <w:unhideWhenUsed/>
    <w:rsid w:val="00ED4B0F"/>
    <w:pPr>
      <w:tabs>
        <w:tab w:val="center" w:pos="4153"/>
        <w:tab w:val="right" w:pos="8306"/>
      </w:tabs>
    </w:pPr>
    <w:rPr>
      <w:sz w:val="18"/>
      <w:szCs w:val="18"/>
    </w:rPr>
  </w:style>
  <w:style w:type="character" w:customStyle="1" w:styleId="Char0">
    <w:name w:val="页脚 Char"/>
    <w:basedOn w:val="a0"/>
    <w:link w:val="a4"/>
    <w:uiPriority w:val="99"/>
    <w:semiHidden/>
    <w:rsid w:val="00ED4B0F"/>
    <w:rPr>
      <w:rFonts w:ascii="Tahoma" w:hAnsi="Tahoma"/>
      <w:sz w:val="18"/>
      <w:szCs w:val="18"/>
    </w:rPr>
  </w:style>
  <w:style w:type="character" w:styleId="a5">
    <w:name w:val="Strong"/>
    <w:basedOn w:val="a0"/>
    <w:uiPriority w:val="22"/>
    <w:qFormat/>
    <w:rsid w:val="00ED4B0F"/>
    <w:rPr>
      <w:b/>
      <w:bCs/>
    </w:rPr>
  </w:style>
</w:styles>
</file>

<file path=word/webSettings.xml><?xml version="1.0" encoding="utf-8"?>
<w:webSettings xmlns:r="http://schemas.openxmlformats.org/officeDocument/2006/relationships" xmlns:w="http://schemas.openxmlformats.org/wordprocessingml/2006/main">
  <w:divs>
    <w:div w:id="14258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马东刚</cp:lastModifiedBy>
  <cp:revision>2</cp:revision>
  <dcterms:created xsi:type="dcterms:W3CDTF">2008-09-11T17:20:00Z</dcterms:created>
  <dcterms:modified xsi:type="dcterms:W3CDTF">2019-10-14T07:09:00Z</dcterms:modified>
</cp:coreProperties>
</file>